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250DA7" w:rsidRPr="003123E7" w:rsidTr="00A14DBA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0DA7" w:rsidRPr="00ED1B57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8700" cy="657225"/>
                  <wp:effectExtent l="19050" t="0" r="0" b="0"/>
                  <wp:docPr id="1" name="Рисунок 1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УЧРЕЖДЕНИЕ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</w:rPr>
              <w:t xml:space="preserve">ДОПОЛНИТЕЛЬНОГО  ОБРАЗОВАНИЯ </w:t>
            </w:r>
          </w:p>
          <w:p w:rsidR="00250DA7" w:rsidRDefault="00250DA7" w:rsidP="00A14DBA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  <w:szCs w:val="20"/>
              </w:rPr>
              <w:t>«МОЛОДЕЖНЫЙ ЦЕНТР»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ГОРОДА САРОВА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ул. Куйбышева д.19/1, г. Саров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Нижегородской обл., 607190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Тел/факс 6-95-78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ОКПО 52473848    ИНН 5254022938</w:t>
            </w:r>
          </w:p>
          <w:p w:rsidR="00250DA7" w:rsidRPr="007F1C1D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КПП 525401001    БИК 042202603</w:t>
            </w:r>
          </w:p>
          <w:p w:rsidR="00250DA7" w:rsidRPr="00ED1B57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50DA7" w:rsidRPr="00ED1B57" w:rsidRDefault="00250DA7" w:rsidP="00A14DBA">
            <w:pPr>
              <w:pStyle w:val="a5"/>
              <w:jc w:val="center"/>
              <w:rPr>
                <w:rFonts w:ascii="Times New Roman" w:hAnsi="Times New Roman"/>
              </w:rPr>
            </w:pP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______________</w:t>
            </w:r>
            <w:r w:rsidRPr="00ED1B57">
              <w:rPr>
                <w:rFonts w:ascii="Times New Roman" w:hAnsi="Times New Roman"/>
                <w:sz w:val="24"/>
              </w:rPr>
              <w:t xml:space="preserve">    №   </w:t>
            </w: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63.01-17 /____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250DA7" w:rsidRDefault="00250DA7" w:rsidP="00A14DBA">
            <w:pPr>
              <w:pStyle w:val="a5"/>
            </w:pPr>
          </w:p>
        </w:tc>
      </w:tr>
    </w:tbl>
    <w:p w:rsidR="00250DA7" w:rsidRPr="00250DA7" w:rsidRDefault="00250DA7" w:rsidP="00250DA7">
      <w:pPr>
        <w:pStyle w:val="a5"/>
        <w:ind w:left="284"/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</w:pPr>
      <w:r w:rsidRPr="00250DA7">
        <w:rPr>
          <w:rFonts w:ascii="Times New Roman" w:hAnsi="Times New Roman"/>
        </w:rPr>
        <w:t xml:space="preserve">Об утверждении 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>Порядка</w:t>
      </w: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создания, </w:t>
      </w:r>
    </w:p>
    <w:p w:rsidR="00250DA7" w:rsidRPr="00250DA7" w:rsidRDefault="00250DA7" w:rsidP="00250DA7">
      <w:pPr>
        <w:pStyle w:val="a5"/>
        <w:ind w:left="284"/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</w:pP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организации работы, принятия решений </w:t>
      </w:r>
    </w:p>
    <w:p w:rsidR="00250DA7" w:rsidRPr="00250DA7" w:rsidRDefault="00250DA7" w:rsidP="00250DA7">
      <w:pPr>
        <w:pStyle w:val="a5"/>
        <w:ind w:left="284"/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</w:pP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комиссией по урегулированию споров </w:t>
      </w:r>
    </w:p>
    <w:p w:rsidR="00250DA7" w:rsidRPr="00250DA7" w:rsidRDefault="00250DA7" w:rsidP="00250DA7">
      <w:pPr>
        <w:pStyle w:val="a5"/>
        <w:ind w:left="284"/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</w:pP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между участниками образовательных </w:t>
      </w:r>
    </w:p>
    <w:p w:rsidR="00250DA7" w:rsidRDefault="00250DA7" w:rsidP="00250DA7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4"/>
        </w:rPr>
        <w:t>отношений и их исполнения</w:t>
      </w:r>
    </w:p>
    <w:p w:rsidR="00250DA7" w:rsidRDefault="00250DA7" w:rsidP="00250DA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A7" w:rsidRDefault="00250DA7" w:rsidP="00250DA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DA7" w:rsidRDefault="00250DA7" w:rsidP="006A56DC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6</w:t>
      </w:r>
      <w:r w:rsidRPr="007E086B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45</w:t>
      </w:r>
      <w:r w:rsidRPr="007E086B">
        <w:rPr>
          <w:rFonts w:ascii="Times New Roman" w:hAnsi="Times New Roman"/>
          <w:sz w:val="28"/>
          <w:szCs w:val="28"/>
        </w:rPr>
        <w:t xml:space="preserve">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250DA7" w:rsidRPr="007E086B" w:rsidRDefault="00250DA7" w:rsidP="006A56DC">
      <w:pPr>
        <w:pStyle w:val="a5"/>
        <w:spacing w:line="276" w:lineRule="auto"/>
      </w:pPr>
    </w:p>
    <w:p w:rsidR="00250DA7" w:rsidRPr="00ED1B57" w:rsidRDefault="00250DA7" w:rsidP="006A56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1B57">
        <w:rPr>
          <w:rFonts w:ascii="Times New Roman" w:hAnsi="Times New Roman"/>
          <w:b/>
          <w:sz w:val="28"/>
          <w:szCs w:val="28"/>
        </w:rPr>
        <w:t>ПРИКАЗЫВАЮ:</w:t>
      </w:r>
    </w:p>
    <w:p w:rsidR="00250DA7" w:rsidRPr="00250DA7" w:rsidRDefault="00250DA7" w:rsidP="006A56D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250DA7">
        <w:rPr>
          <w:rFonts w:ascii="Times New Roman" w:hAnsi="Times New Roman"/>
          <w:sz w:val="28"/>
          <w:szCs w:val="28"/>
        </w:rPr>
        <w:t>Утвердить прилагаемый П</w:t>
      </w:r>
      <w:r w:rsidRPr="00250DA7">
        <w:rPr>
          <w:rStyle w:val="10"/>
          <w:rFonts w:ascii="Times New Roman" w:hAnsi="Times New Roman" w:cs="Times New Roman"/>
          <w:b w:val="0"/>
          <w:color w:val="000000" w:themeColor="text1"/>
        </w:rPr>
        <w:t>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>.</w:t>
      </w:r>
    </w:p>
    <w:p w:rsidR="00250DA7" w:rsidRPr="007E086B" w:rsidRDefault="00250DA7" w:rsidP="006A56D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50DA7" w:rsidRPr="007E086B" w:rsidRDefault="00250DA7" w:rsidP="006A56D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0DA7" w:rsidRPr="00ED1B57" w:rsidRDefault="00250DA7" w:rsidP="00250DA7">
      <w:pPr>
        <w:pStyle w:val="a5"/>
        <w:jc w:val="center"/>
        <w:rPr>
          <w:rFonts w:ascii="Times New Roman" w:hAnsi="Times New Roman"/>
          <w:sz w:val="28"/>
        </w:rPr>
      </w:pPr>
      <w:r w:rsidRPr="00ED1B57">
        <w:rPr>
          <w:rFonts w:ascii="Times New Roman" w:hAnsi="Times New Roman"/>
          <w:sz w:val="28"/>
        </w:rPr>
        <w:t xml:space="preserve">Директор  </w:t>
      </w: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</w:t>
      </w:r>
      <w:r w:rsidRPr="00ED1B57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</w:t>
      </w:r>
      <w:r w:rsidRPr="00ED1B57">
        <w:rPr>
          <w:rFonts w:ascii="Times New Roman" w:hAnsi="Times New Roman"/>
          <w:sz w:val="28"/>
        </w:rPr>
        <w:t>И.А. Ширяева</w:t>
      </w: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0DA7" w:rsidRDefault="00250DA7" w:rsidP="0025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250DA7" w:rsidRPr="0065234A" w:rsidRDefault="00250DA7" w:rsidP="0025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№____</w:t>
      </w:r>
    </w:p>
    <w:p w:rsidR="00250DA7" w:rsidRDefault="00250DA7" w:rsidP="00250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661" w:rsidRDefault="00DD5661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50DA7" w:rsidRPr="00DD5661" w:rsidRDefault="00250DA7" w:rsidP="00DD5661">
      <w:pP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A56DC" w:rsidRDefault="00250DA7" w:rsidP="006A56DC">
      <w:pPr>
        <w:pStyle w:val="a5"/>
        <w:jc w:val="center"/>
        <w:rPr>
          <w:rStyle w:val="10"/>
          <w:rFonts w:ascii="Times New Roman" w:hAnsi="Times New Roman" w:cs="Times New Roman"/>
          <w:color w:val="000000" w:themeColor="text1"/>
          <w:szCs w:val="24"/>
        </w:rPr>
      </w:pPr>
      <w:r w:rsidRPr="00250DA7">
        <w:rPr>
          <w:rStyle w:val="10"/>
          <w:rFonts w:ascii="Times New Roman" w:hAnsi="Times New Roman" w:cs="Times New Roman"/>
          <w:color w:val="000000" w:themeColor="text1"/>
          <w:szCs w:val="24"/>
        </w:rPr>
        <w:t xml:space="preserve">ПОРЯДОК </w:t>
      </w:r>
    </w:p>
    <w:p w:rsidR="006A56DC" w:rsidRDefault="00250DA7" w:rsidP="006A56DC">
      <w:pPr>
        <w:pStyle w:val="a5"/>
        <w:jc w:val="center"/>
        <w:rPr>
          <w:rStyle w:val="10"/>
          <w:rFonts w:ascii="Times New Roman" w:hAnsi="Times New Roman" w:cs="Times New Roman"/>
          <w:color w:val="000000" w:themeColor="text1"/>
          <w:szCs w:val="24"/>
        </w:rPr>
      </w:pPr>
      <w:r w:rsidRPr="00250DA7">
        <w:rPr>
          <w:rStyle w:val="10"/>
          <w:rFonts w:ascii="Times New Roman" w:hAnsi="Times New Roman" w:cs="Times New Roman"/>
          <w:color w:val="000000" w:themeColor="text1"/>
          <w:szCs w:val="24"/>
        </w:rPr>
        <w:t>СОЗДАНИЯ, ОРГАНИЗАЦИИ РАБОТЫ, ПРИНЯТИЯ РЕШЕНИЙ КОМИССИЕЙ ПО УРЕГУЛИРОВАНИЮ СПОРОВ МЕЖДУ УЧАСТНИКАМИ ОБРАЗОВАТЕ</w:t>
      </w:r>
      <w:r w:rsidR="006A56DC">
        <w:rPr>
          <w:rStyle w:val="10"/>
          <w:rFonts w:ascii="Times New Roman" w:hAnsi="Times New Roman" w:cs="Times New Roman"/>
          <w:color w:val="000000" w:themeColor="text1"/>
          <w:szCs w:val="24"/>
        </w:rPr>
        <w:t xml:space="preserve">ЛЬНЫХ ОТНОШЕНИЙ </w:t>
      </w:r>
    </w:p>
    <w:p w:rsidR="00DD5661" w:rsidRPr="006A56DC" w:rsidRDefault="006A56DC" w:rsidP="006A56DC">
      <w:pPr>
        <w:pStyle w:val="a5"/>
        <w:jc w:val="center"/>
        <w:rPr>
          <w:rStyle w:val="10"/>
          <w:rFonts w:ascii="Times New Roman" w:hAnsi="Times New Roman" w:cs="Times New Roman"/>
          <w:color w:val="000000" w:themeColor="text1"/>
          <w:szCs w:val="24"/>
        </w:rPr>
      </w:pPr>
      <w:r>
        <w:rPr>
          <w:rStyle w:val="10"/>
          <w:rFonts w:ascii="Times New Roman" w:hAnsi="Times New Roman" w:cs="Times New Roman"/>
          <w:color w:val="000000" w:themeColor="text1"/>
          <w:szCs w:val="24"/>
        </w:rPr>
        <w:t xml:space="preserve">И </w:t>
      </w:r>
      <w:r w:rsidRPr="006A56DC">
        <w:rPr>
          <w:rStyle w:val="10"/>
          <w:rFonts w:ascii="Times New Roman" w:hAnsi="Times New Roman" w:cs="Times New Roman"/>
          <w:color w:val="000000" w:themeColor="text1"/>
          <w:szCs w:val="24"/>
        </w:rPr>
        <w:t>ИХ ИСПОЛНЕНИЯ</w:t>
      </w:r>
    </w:p>
    <w:p w:rsidR="006A56DC" w:rsidRPr="006A56DC" w:rsidRDefault="006A56DC" w:rsidP="006A56DC">
      <w:pPr>
        <w:pStyle w:val="a5"/>
        <w:jc w:val="center"/>
        <w:rPr>
          <w:rFonts w:ascii="Times New Roman" w:hAnsi="Times New Roman"/>
          <w:b/>
          <w:sz w:val="28"/>
        </w:rPr>
      </w:pPr>
      <w:r w:rsidRPr="006A56DC">
        <w:rPr>
          <w:rFonts w:ascii="Times New Roman" w:hAnsi="Times New Roman"/>
          <w:b/>
          <w:sz w:val="28"/>
        </w:rPr>
        <w:t>МУНИЦИПАЛЬНОГО БЮДЖЕТНОГО УЧРЕЖДЕНИЯ</w:t>
      </w:r>
    </w:p>
    <w:p w:rsidR="006A56DC" w:rsidRPr="006A56DC" w:rsidRDefault="006A56DC" w:rsidP="006A56DC">
      <w:pPr>
        <w:pStyle w:val="a5"/>
        <w:jc w:val="center"/>
        <w:rPr>
          <w:rFonts w:ascii="Times New Roman" w:hAnsi="Times New Roman"/>
          <w:b/>
          <w:sz w:val="28"/>
        </w:rPr>
      </w:pPr>
      <w:r w:rsidRPr="006A56DC">
        <w:rPr>
          <w:rFonts w:ascii="Times New Roman" w:hAnsi="Times New Roman"/>
          <w:b/>
          <w:sz w:val="28"/>
        </w:rPr>
        <w:t>ДОПОЛНИТЕЛЬНОГО ОБРАЗОВАНИЯ</w:t>
      </w:r>
    </w:p>
    <w:p w:rsidR="006A56DC" w:rsidRPr="006A56DC" w:rsidRDefault="006A56DC" w:rsidP="006A56DC">
      <w:pPr>
        <w:pStyle w:val="a5"/>
        <w:jc w:val="center"/>
        <w:rPr>
          <w:rFonts w:ascii="Times New Roman" w:hAnsi="Times New Roman"/>
          <w:b/>
          <w:color w:val="18316B"/>
          <w:sz w:val="28"/>
        </w:rPr>
      </w:pPr>
      <w:r w:rsidRPr="006A56DC">
        <w:rPr>
          <w:rFonts w:ascii="Times New Roman" w:hAnsi="Times New Roman"/>
          <w:b/>
          <w:sz w:val="28"/>
        </w:rPr>
        <w:t>«МОЛОДЕЖНЫЙ ЦЕНТР» ГОРОДА САРОВА</w:t>
      </w:r>
    </w:p>
    <w:p w:rsidR="006A56DC" w:rsidRPr="006A56DC" w:rsidRDefault="006A56DC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A7" w:rsidRPr="00E7357F" w:rsidRDefault="00250DA7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250DA7" w:rsidRPr="00E7357F" w:rsidRDefault="00250DA7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250DA7" w:rsidRPr="00E7357F" w:rsidRDefault="00250DA7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от ___.___.2015 №____</w:t>
      </w:r>
    </w:p>
    <w:p w:rsidR="00250DA7" w:rsidRDefault="00250DA7" w:rsidP="00DD5661">
      <w:pPr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661" w:rsidRPr="00250DA7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Настоящий порядок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исполнение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</w:t>
      </w:r>
      <w:r w:rsidR="00250DA7"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Комиссия)</w:t>
      </w: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Муниципальным бюджетным учреждением дополнительного образования «Молодеж</w:t>
      </w:r>
      <w:r w:rsidR="00250DA7"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ный центр» города Сарова (далее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</w:t>
      </w: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50DA7"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чреждение).</w:t>
      </w:r>
    </w:p>
    <w:p w:rsidR="00DD5661" w:rsidRDefault="00DD5661" w:rsidP="00250DA7">
      <w:pPr>
        <w:pStyle w:val="a4"/>
        <w:ind w:left="426" w:firstLine="69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ставом 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чреждения, настоящим 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орядком и другими локальными нормативными актами 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чреждения.</w:t>
      </w:r>
    </w:p>
    <w:p w:rsidR="00DD566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DD5661" w:rsidRPr="0007598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состоит из избираемых членов, представляющих:</w:t>
      </w:r>
    </w:p>
    <w:p w:rsidR="004E7937" w:rsidRPr="00075984" w:rsidRDefault="004E7937" w:rsidP="00250DA7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родителей (законных представителей) учащихся –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человека;</w:t>
      </w:r>
    </w:p>
    <w:p w:rsidR="004E7937" w:rsidRDefault="004E7937" w:rsidP="00250DA7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работников </w:t>
      </w:r>
      <w:r w:rsidR="00250DA7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075984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чреждения –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человека.</w:t>
      </w:r>
    </w:p>
    <w:p w:rsidR="00FE0BA0" w:rsidRDefault="00FE0BA0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Члены 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омиссии, представляющие родителей</w:t>
      </w:r>
      <w:r w:rsidR="00250DA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(законных представителей)    уча</w:t>
      </w:r>
      <w:r w:rsidRP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щихся</w:t>
      </w:r>
      <w:r w:rsid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избираются </w:t>
      </w:r>
      <w:r w:rsidR="00075984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заседании С</w:t>
      </w:r>
      <w:r w:rsidR="004E7937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овета </w:t>
      </w:r>
      <w:r w:rsidR="00075984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Учреждения</w:t>
      </w:r>
      <w:r w:rsidR="004E7937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простым большинством голосов присутствующих на заседании </w:t>
      </w:r>
      <w:r w:rsidR="00075984"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Совета Учреждения</w:t>
      </w:r>
      <w:r w:rsidR="004E793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E7937" w:rsidRDefault="004E7937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Члены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представляющие работников, избираются на общем собрании работников </w:t>
      </w:r>
      <w:r w:rsidR="0065224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чреждения простым </w:t>
      </w:r>
      <w:r w:rsid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большинством голосов присутствующих на </w:t>
      </w:r>
      <w:r w:rsidR="0065224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="0065224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собрани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65224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работников У</w:t>
      </w:r>
      <w:r w:rsid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омиссией решения.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считается сформированной и приступает к работе с момента избирания всего состава комиссии.</w:t>
      </w:r>
    </w:p>
    <w:p w:rsidR="00075984" w:rsidRDefault="00DD5661" w:rsidP="00075984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Комиссия формируется сроком на один год. Состав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утверждается приказом директора учреждением.</w:t>
      </w:r>
    </w:p>
    <w:p w:rsidR="00505281" w:rsidRPr="00075984" w:rsidRDefault="00DD5661" w:rsidP="0007598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Учреждение не выплачивает членам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вознаграждение за выполнение ими своих обязанностей.</w:t>
      </w:r>
    </w:p>
    <w:p w:rsidR="0007598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Полномочия члена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 могут быть прекращены досрочно: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по просьбе члена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омиссии;</w:t>
      </w:r>
    </w:p>
    <w:p w:rsidR="00505281" w:rsidRDefault="00DD5661" w:rsidP="0007598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невозможности исполнения членом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своих обязанностей по состоянию здоровья или по причине его отсутствия в месте нахождения учреждения в течение двух месяцев.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Полномочия члена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являющегося педагогическим работником и состоящего с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чреждением в трудовых отношениях, могут быть также прекращены досрочно в случае прекращения трудовых отношений с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чреждением.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Вакантные места, образовавшиеся 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замещаются на оставшийся срок полномочий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Комиссию возглавляет председатель, избираемый членами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из их числа простым большинством голосов присутствующих на заседании членов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075984" w:rsidRDefault="00075984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принятии Комиссией решения в случае равного распределения голосов, голос председателя Комиссии является решающим.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Директор учреждением не может быть избран председателем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Комиссия вправе в любое время переизбрать своего председателя простым большинством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голосов от общего числа членов 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07598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Председатель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омиссии:</w:t>
      </w:r>
    </w:p>
    <w:p w:rsidR="00075984" w:rsidRDefault="00DD5661" w:rsidP="0007598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осуществляет общее руководство деятельностью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омиссии;</w:t>
      </w:r>
    </w:p>
    <w:p w:rsidR="00075984" w:rsidRDefault="00DD5661" w:rsidP="0007598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ведёт заседание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омиссии;</w:t>
      </w:r>
    </w:p>
    <w:p w:rsidR="00505281" w:rsidRPr="00075984" w:rsidRDefault="00DD5661" w:rsidP="0007598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подписывает протокол заседания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отсутствия председателя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его функции осуществляет его заместитель, избираемый членами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из их числа простым большинством голосов от общего числа членов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или один из членов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по решению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ведения текущих дел члены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назначают секретаря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который отвечает за подготовку заседаний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ведение протоколов заседаний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 достоверность отражённых в нём сведений, а также за рассылку извещений о месте и сроках проведения заседаний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Организационной формой работы </w:t>
      </w:r>
      <w:r w:rsidR="0007598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являются заседания, которые проводятся по мере необходимости, в связи поступившими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омиссию обращениями от участников образовательных отношений.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Обращение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омиссию могут направлять роди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тели (законные представители) уча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щихся, педагогические работники и их представители, директор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Срок обращения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обязана рассмотреть поступившее от участника (участников) образовательных отношений письменное заявление в течение десяти календарных дней со дня его подачи.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созываются председателем комиссии, а в его отсутствие – заместителем председателя. Правом созыва 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облада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также директор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чреждением. Комиссия также может созываться по инициативе не менее чем 1/3 членов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могут создаваться подкомиссии. Составы подкомиссий утверждаются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омиссией. В подкомиссии могут входить, с их согласия, любые лица, которых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омиссия сочтет необходимыми привлечь для обеспечения эффективной ра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боты подкомиссии. Председатель 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любой подкомиссии является членом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Заседание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правомочно, если все члены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извещены о времени и месте его проведения и на нем присутствуют не менее половины от общего числа членов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 отсутствии на заседании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по уважительной причине члена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представленное им в письменной форме мнение учитывается при определении наличия кворума и результатов голосования.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Члены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он обязан до начала заседания заявить об этом. В таком случае соответствующий член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не принимает участия в рассмотрении указанного вопроса.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В случае если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омиссию поступило обращение на члена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он не принимает участия в работе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по рассмотрению соответствующего обращения.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003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установления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омиссией признаков дисциплинарного проступка в действиях (бездействии) работника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чреждения информация об этом представляется директору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чреждением для решения вопроса о применении к работнику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 мер ответственности, предусмотренных законодательством.</w:t>
      </w:r>
    </w:p>
    <w:p w:rsidR="00505281" w:rsidRDefault="00DD5661" w:rsidP="00A5003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установления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5003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принимается открытым голосованием. Решение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считается принятым при условии, что за него проголосовало большинство участвующих в голосовании членов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A50034" w:rsidRDefault="00DD5661" w:rsidP="00A5003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работе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может быть предусмотрен порядок тайного голосования, который устанавливается на заседании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Pr="00A50034" w:rsidRDefault="00DD5661" w:rsidP="00A5003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оформляется протоколом, который подписывается председателем и секретарем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Член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не 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является обязательным для всех участников образовательных отношений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чреждении и подлежит исполнению в сроки, предусмотренные указанным решением.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Копии протокола заседания комиссии в 3-дневный срок со дня заседания направляются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директору учреждения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, полностью или в виде выписок из протокола – заинтересованным лицам.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Решение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может быть обжаловано в установленном законодательством Российской Федерации порядке.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Заявление о наличии или об отсутствии конфликта интересов педагогического работника рассматривается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омиссией в случае, если стороны самостоятельно не урегулировали разногласия при непосредственных переговорах.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Председатель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и других лиц, участвующих в заседании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с информацией, поступившей 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омиссию, и результатами её проверки.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Заседание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проводится в его отсутствие. В случае неявки педагогического работника или его представителя на 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заседание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омиссия может принять решение о рассмотрении указанного вопроса в отсутствие педагогического работника.</w:t>
      </w:r>
    </w:p>
    <w:p w:rsidR="00A50034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итогам рассмотрения вопроса о наличии или об отсутствии конфликта интересов педагогического работника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омиссия принимает одно из следу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ющих решений: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а) 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установить, что педагогический работник соблюдал требования об урегулировании конфликта интересов;</w:t>
      </w:r>
    </w:p>
    <w:p w:rsidR="00505281" w:rsidRDefault="00A50034" w:rsidP="00A50034">
      <w:pPr>
        <w:pStyle w:val="a4"/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б) </w:t>
      </w:r>
      <w:r w:rsidR="00DD5661"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установить, что педагогический работник не соблюдал требования об урегулировании конфликта и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нтересов. В этом случае К</w:t>
      </w:r>
      <w:r w:rsidR="00DD5661"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омиссия рекомендует 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директору Учреждения</w:t>
      </w:r>
      <w:r w:rsidR="00DD5661"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Копия протокола 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омиссию принимаются заявления по вопросам применения локальных нормативных актов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чреждения.</w:t>
      </w:r>
    </w:p>
    <w:p w:rsidR="00505281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итогам рассмотрения вопроса применения локальных нормативных актов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омиссия принимает о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дно из следующих решений: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а) 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установить соблюдение требований лока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льного нормативного акта;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б) установить несоблюдение требований локального нормативного акта. В этом случае директор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 обязан принять меры по обеспечению соблюдения требования локального нормативного акта.</w:t>
      </w:r>
    </w:p>
    <w:p w:rsidR="00F90A13" w:rsidRDefault="00DD566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итогам рассмотрения вопросов, указанных в пунктах 40, 43 настоящего порядка, при наличии к тому оснований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омиссия может принять иное решение, чем это предусмотрено пунктами 40, 43 настоящего порядка. Основания и</w:t>
      </w:r>
      <w:r w:rsid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мотивы принятия такого решения должны быть отражены в протоколе заседания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50528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омиссии.</w:t>
      </w:r>
    </w:p>
    <w:p w:rsidR="00505281" w:rsidRDefault="0050528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Решения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омиссии исполняются в установленные ею сроки.</w:t>
      </w:r>
    </w:p>
    <w:p w:rsidR="00505281" w:rsidRDefault="0050528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Контроль исполнения решения, принятого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омиссией по рассматриваемому вопросу, осуществляется членом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омиссии, на которого этот контроль возложен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омиссией.</w:t>
      </w:r>
    </w:p>
    <w:p w:rsidR="00505281" w:rsidRDefault="00505281" w:rsidP="00250DA7">
      <w:pPr>
        <w:pStyle w:val="a4"/>
        <w:numPr>
          <w:ilvl w:val="0"/>
          <w:numId w:val="1"/>
        </w:numPr>
        <w:ind w:left="426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исполнения решений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омиссии могут быть подготовлены проекты локальных нормативных актов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чреждения, приказов или поручений директора </w:t>
      </w:r>
      <w:r w:rsidR="00A5003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чреждения.</w:t>
      </w:r>
    </w:p>
    <w:p w:rsidR="00505281" w:rsidRDefault="00505281" w:rsidP="00505281">
      <w:pPr>
        <w:ind w:left="36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5281" w:rsidRDefault="00505281" w:rsidP="00505281">
      <w:pPr>
        <w:ind w:left="36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5281" w:rsidRDefault="00505281" w:rsidP="00505281">
      <w:pPr>
        <w:ind w:left="36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5281" w:rsidRDefault="00505281" w:rsidP="00505281">
      <w:pPr>
        <w:ind w:left="36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50034" w:rsidRDefault="00A50034" w:rsidP="00505281">
      <w:pPr>
        <w:ind w:left="36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50034" w:rsidRPr="00A50034" w:rsidRDefault="00A50034" w:rsidP="00A500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0034">
        <w:rPr>
          <w:rFonts w:ascii="Times New Roman" w:hAnsi="Times New Roman"/>
          <w:sz w:val="24"/>
          <w:szCs w:val="28"/>
        </w:rPr>
        <w:t>Принят с учетом мнения</w:t>
      </w:r>
    </w:p>
    <w:p w:rsidR="00A50034" w:rsidRPr="00A50034" w:rsidRDefault="00A50034" w:rsidP="00A500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0034">
        <w:rPr>
          <w:rFonts w:ascii="Times New Roman" w:hAnsi="Times New Roman"/>
          <w:sz w:val="24"/>
          <w:szCs w:val="28"/>
        </w:rPr>
        <w:t xml:space="preserve">Совета Учреждения </w:t>
      </w:r>
    </w:p>
    <w:p w:rsidR="00505281" w:rsidRPr="00A50034" w:rsidRDefault="00A50034" w:rsidP="00A500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0034">
        <w:rPr>
          <w:rFonts w:ascii="Times New Roman" w:hAnsi="Times New Roman"/>
          <w:sz w:val="24"/>
          <w:szCs w:val="28"/>
        </w:rPr>
        <w:t>Протокол от ___.___.2015 №____</w:t>
      </w:r>
    </w:p>
    <w:sectPr w:rsidR="00505281" w:rsidRPr="00A50034" w:rsidSect="00F9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2D592D"/>
    <w:multiLevelType w:val="hybridMultilevel"/>
    <w:tmpl w:val="4EF2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D5661"/>
    <w:rsid w:val="00075984"/>
    <w:rsid w:val="00250DA7"/>
    <w:rsid w:val="003167B7"/>
    <w:rsid w:val="004E7937"/>
    <w:rsid w:val="00505281"/>
    <w:rsid w:val="00652241"/>
    <w:rsid w:val="006A56DC"/>
    <w:rsid w:val="009A00EC"/>
    <w:rsid w:val="00A50034"/>
    <w:rsid w:val="00DD5661"/>
    <w:rsid w:val="00F90A13"/>
    <w:rsid w:val="00F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3"/>
  </w:style>
  <w:style w:type="paragraph" w:styleId="1">
    <w:name w:val="heading 1"/>
    <w:basedOn w:val="a"/>
    <w:next w:val="a"/>
    <w:link w:val="10"/>
    <w:uiPriority w:val="9"/>
    <w:qFormat/>
    <w:rsid w:val="00DD5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D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661"/>
    <w:pPr>
      <w:ind w:left="720"/>
      <w:contextualSpacing/>
    </w:pPr>
  </w:style>
  <w:style w:type="paragraph" w:styleId="a5">
    <w:name w:val="No Spacing"/>
    <w:uiPriority w:val="1"/>
    <w:qFormat/>
    <w:rsid w:val="00250D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7</cp:revision>
  <dcterms:created xsi:type="dcterms:W3CDTF">2015-08-07T09:24:00Z</dcterms:created>
  <dcterms:modified xsi:type="dcterms:W3CDTF">2015-08-18T08:55:00Z</dcterms:modified>
</cp:coreProperties>
</file>